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ascii="����" w:hAnsi="����" w:eastAsia="����" w:cs="����"/>
          <w:i w:val="0"/>
          <w:caps w:val="0"/>
          <w:color w:val="333333"/>
          <w:spacing w:val="0"/>
          <w:sz w:val="24"/>
          <w:szCs w:val="24"/>
        </w:rPr>
      </w:pPr>
      <w:bookmarkStart w:id="0" w:name="_GoBack"/>
      <w:r>
        <w:rPr>
          <w:rFonts w:hint="eastAsia" w:ascii="仿宋" w:hAnsi="仿宋" w:eastAsia="仿宋" w:cs="仿宋"/>
          <w:b/>
          <w:i w:val="0"/>
          <w:caps w:val="0"/>
          <w:color w:val="333333"/>
          <w:spacing w:val="0"/>
          <w:sz w:val="32"/>
          <w:szCs w:val="32"/>
          <w:bdr w:val="none" w:color="auto" w:sz="0" w:space="0"/>
          <w:shd w:val="clear" w:fill="FFFFFF"/>
        </w:rPr>
        <w:t>荔城区第二轮新任教师</w:t>
      </w:r>
      <w:r>
        <w:rPr>
          <w:rFonts w:hint="eastAsia" w:ascii="仿宋" w:hAnsi="仿宋" w:eastAsia="仿宋" w:cs="仿宋"/>
          <w:b/>
          <w:i w:val="0"/>
          <w:caps w:val="0"/>
          <w:color w:val="333333"/>
          <w:spacing w:val="0"/>
          <w:sz w:val="32"/>
          <w:szCs w:val="32"/>
          <w:shd w:val="clear" w:fill="FFFFFF"/>
        </w:rPr>
        <w:t>补充招聘</w:t>
      </w:r>
      <w:r>
        <w:rPr>
          <w:rFonts w:ascii="仿宋" w:hAnsi="仿宋" w:eastAsia="仿宋" w:cs="仿宋"/>
          <w:b/>
          <w:i w:val="0"/>
          <w:caps w:val="0"/>
          <w:color w:val="333333"/>
          <w:spacing w:val="0"/>
          <w:sz w:val="32"/>
          <w:szCs w:val="32"/>
          <w:bdr w:val="none" w:color="auto" w:sz="0" w:space="0"/>
          <w:shd w:val="clear" w:fill="FFFFFF"/>
        </w:rPr>
        <w:t>岗位、人数、条件要求</w:t>
      </w:r>
      <w:bookmarkEnd w:id="0"/>
      <w:r>
        <w:rPr>
          <w:rFonts w:ascii="仿宋" w:hAnsi="仿宋" w:eastAsia="仿宋" w:cs="仿宋"/>
          <w:b/>
          <w:i w:val="0"/>
          <w:caps w:val="0"/>
          <w:color w:val="333333"/>
          <w:spacing w:val="0"/>
          <w:sz w:val="32"/>
          <w:szCs w:val="32"/>
          <w:bdr w:val="none" w:color="auto" w:sz="0" w:space="0"/>
          <w:shd w:val="clear" w:fill="FFFFFF"/>
        </w:rPr>
        <w:t>(5个岗位，共37人）</w:t>
      </w:r>
    </w:p>
    <w:tbl>
      <w:tblPr>
        <w:tblW w:w="8840" w:type="dxa"/>
        <w:jc w:val="center"/>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5"/>
        <w:gridCol w:w="655"/>
        <w:gridCol w:w="877"/>
        <w:gridCol w:w="744"/>
        <w:gridCol w:w="2002"/>
        <w:gridCol w:w="972"/>
        <w:gridCol w:w="1860"/>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9"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序号</w:t>
            </w:r>
          </w:p>
        </w:tc>
        <w:tc>
          <w:tcPr>
            <w:tcW w:w="655"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学校类别</w:t>
            </w:r>
          </w:p>
        </w:tc>
        <w:tc>
          <w:tcPr>
            <w:tcW w:w="877"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招聘岗位</w:t>
            </w:r>
          </w:p>
        </w:tc>
        <w:tc>
          <w:tcPr>
            <w:tcW w:w="744"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人数</w:t>
            </w:r>
          </w:p>
        </w:tc>
        <w:tc>
          <w:tcPr>
            <w:tcW w:w="2002"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学历要求</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专业要求</w:t>
            </w:r>
          </w:p>
        </w:tc>
        <w:tc>
          <w:tcPr>
            <w:tcW w:w="1860"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教师资格要求</w:t>
            </w:r>
          </w:p>
        </w:tc>
        <w:tc>
          <w:tcPr>
            <w:tcW w:w="1115"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b/>
                <w:i w:val="0"/>
                <w:caps w:val="0"/>
                <w:color w:val="333333"/>
                <w:spacing w:val="0"/>
                <w:sz w:val="21"/>
                <w:szCs w:val="21"/>
                <w:bdr w:val="none" w:color="auto" w:sz="0" w:space="0"/>
              </w:rPr>
              <w:t>普通话要求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jc w:val="center"/>
        </w:trPr>
        <w:tc>
          <w:tcPr>
            <w:tcW w:w="615" w:type="dxa"/>
            <w:vMerge w:val="restart"/>
            <w:tcBorders>
              <w:top w:val="nil"/>
              <w:left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1</w:t>
            </w:r>
          </w:p>
        </w:tc>
        <w:tc>
          <w:tcPr>
            <w:tcW w:w="655" w:type="dxa"/>
            <w:vMerge w:val="restart"/>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中学</w:t>
            </w:r>
          </w:p>
        </w:tc>
        <w:tc>
          <w:tcPr>
            <w:tcW w:w="877"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语文</w:t>
            </w:r>
          </w:p>
        </w:tc>
        <w:tc>
          <w:tcPr>
            <w:tcW w:w="744"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2</w:t>
            </w:r>
          </w:p>
        </w:tc>
        <w:tc>
          <w:tcPr>
            <w:tcW w:w="200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全日制普通高校师范类本科及以上学历</w:t>
            </w:r>
          </w:p>
        </w:tc>
        <w:tc>
          <w:tcPr>
            <w:tcW w:w="97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师范类</w:t>
            </w:r>
          </w:p>
        </w:tc>
        <w:tc>
          <w:tcPr>
            <w:tcW w:w="1860"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相应学科的初中及以上教师资格</w:t>
            </w:r>
          </w:p>
        </w:tc>
        <w:tc>
          <w:tcPr>
            <w:tcW w:w="111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二级甲等及以上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jc w:val="center"/>
        </w:trPr>
        <w:tc>
          <w:tcPr>
            <w:tcW w:w="615" w:type="dxa"/>
            <w:vMerge w:val="continue"/>
            <w:tcBorders>
              <w:top w:val="nil"/>
              <w:left w:val="single" w:color="000000" w:sz="4" w:space="0"/>
              <w:right w:val="single" w:color="000000" w:sz="4" w:space="0"/>
            </w:tcBorders>
            <w:shd w:val="clear" w:color="auto" w:fill="FFFFFF"/>
            <w:vAlign w:val="center"/>
          </w:tcPr>
          <w:p>
            <w:pPr>
              <w:rPr>
                <w:rFonts w:hint="default" w:ascii="����" w:hAnsi="����" w:eastAsia="����" w:cs="����"/>
                <w:i w:val="0"/>
                <w:caps w:val="0"/>
                <w:color w:val="333333"/>
                <w:spacing w:val="0"/>
                <w:sz w:val="24"/>
                <w:szCs w:val="24"/>
              </w:rPr>
            </w:pPr>
          </w:p>
        </w:tc>
        <w:tc>
          <w:tcPr>
            <w:tcW w:w="655" w:type="dxa"/>
            <w:vMerge w:val="continue"/>
            <w:tcBorders>
              <w:top w:val="nil"/>
              <w:left w:val="nil"/>
              <w:bottom w:val="single" w:color="000000" w:sz="4" w:space="0"/>
              <w:right w:val="single" w:color="000000" w:sz="4" w:space="0"/>
            </w:tcBorders>
            <w:shd w:val="clear" w:color="auto" w:fill="FFFFFF"/>
            <w:vAlign w:val="center"/>
          </w:tcPr>
          <w:p>
            <w:pPr>
              <w:rPr>
                <w:rFonts w:hint="default" w:ascii="����" w:hAnsi="����" w:eastAsia="����" w:cs="����"/>
                <w:i w:val="0"/>
                <w:caps w:val="0"/>
                <w:color w:val="333333"/>
                <w:spacing w:val="0"/>
                <w:sz w:val="24"/>
                <w:szCs w:val="24"/>
              </w:rPr>
            </w:pPr>
          </w:p>
        </w:tc>
        <w:tc>
          <w:tcPr>
            <w:tcW w:w="877"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数学</w:t>
            </w:r>
          </w:p>
        </w:tc>
        <w:tc>
          <w:tcPr>
            <w:tcW w:w="744"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3</w:t>
            </w:r>
          </w:p>
        </w:tc>
        <w:tc>
          <w:tcPr>
            <w:tcW w:w="200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全日制普通高校师范类本科及以上学历</w:t>
            </w:r>
          </w:p>
        </w:tc>
        <w:tc>
          <w:tcPr>
            <w:tcW w:w="97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师范类</w:t>
            </w:r>
          </w:p>
        </w:tc>
        <w:tc>
          <w:tcPr>
            <w:tcW w:w="1860"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相应学科的高中及以上教师资格</w:t>
            </w:r>
          </w:p>
        </w:tc>
        <w:tc>
          <w:tcPr>
            <w:tcW w:w="111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二级乙等及以上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6" w:hRule="atLeast"/>
          <w:jc w:val="center"/>
        </w:trPr>
        <w:tc>
          <w:tcPr>
            <w:tcW w:w="615" w:type="dxa"/>
            <w:vMerge w:val="restart"/>
            <w:tcBorders>
              <w:top w:val="nil"/>
              <w:left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2</w:t>
            </w:r>
          </w:p>
        </w:tc>
        <w:tc>
          <w:tcPr>
            <w:tcW w:w="655" w:type="dxa"/>
            <w:vMerge w:val="restart"/>
            <w:tcBorders>
              <w:top w:val="nil"/>
              <w:left w:val="nil"/>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小学</w:t>
            </w:r>
          </w:p>
        </w:tc>
        <w:tc>
          <w:tcPr>
            <w:tcW w:w="877"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语文</w:t>
            </w:r>
          </w:p>
        </w:tc>
        <w:tc>
          <w:tcPr>
            <w:tcW w:w="744"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24</w:t>
            </w:r>
          </w:p>
        </w:tc>
        <w:tc>
          <w:tcPr>
            <w:tcW w:w="200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全日制普通高校师范类专科及以上学历</w:t>
            </w:r>
          </w:p>
        </w:tc>
        <w:tc>
          <w:tcPr>
            <w:tcW w:w="97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师范类</w:t>
            </w:r>
          </w:p>
        </w:tc>
        <w:tc>
          <w:tcPr>
            <w:tcW w:w="1860"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相应学科的小学及以上教师资格</w:t>
            </w:r>
          </w:p>
        </w:tc>
        <w:tc>
          <w:tcPr>
            <w:tcW w:w="111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二级甲等及以上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jc w:val="center"/>
        </w:trPr>
        <w:tc>
          <w:tcPr>
            <w:tcW w:w="615" w:type="dxa"/>
            <w:vMerge w:val="continue"/>
            <w:tcBorders>
              <w:top w:val="nil"/>
              <w:left w:val="single" w:color="000000" w:sz="4" w:space="0"/>
              <w:right w:val="single" w:color="000000" w:sz="4" w:space="0"/>
            </w:tcBorders>
            <w:shd w:val="clear" w:color="auto" w:fill="FFFFFF"/>
            <w:vAlign w:val="center"/>
          </w:tcPr>
          <w:p>
            <w:pPr>
              <w:rPr>
                <w:rFonts w:hint="default" w:ascii="����" w:hAnsi="����" w:eastAsia="����" w:cs="����"/>
                <w:i w:val="0"/>
                <w:caps w:val="0"/>
                <w:color w:val="333333"/>
                <w:spacing w:val="0"/>
                <w:sz w:val="24"/>
                <w:szCs w:val="24"/>
              </w:rPr>
            </w:pPr>
          </w:p>
        </w:tc>
        <w:tc>
          <w:tcPr>
            <w:tcW w:w="655" w:type="dxa"/>
            <w:vMerge w:val="continue"/>
            <w:tcBorders>
              <w:top w:val="nil"/>
              <w:left w:val="nil"/>
              <w:right w:val="single" w:color="000000" w:sz="4" w:space="0"/>
            </w:tcBorders>
            <w:shd w:val="clear" w:color="auto" w:fill="FFFFFF"/>
            <w:vAlign w:val="center"/>
          </w:tcPr>
          <w:p>
            <w:pPr>
              <w:rPr>
                <w:rFonts w:hint="default" w:ascii="����" w:hAnsi="����" w:eastAsia="����" w:cs="����"/>
                <w:i w:val="0"/>
                <w:caps w:val="0"/>
                <w:color w:val="333333"/>
                <w:spacing w:val="0"/>
                <w:sz w:val="24"/>
                <w:szCs w:val="24"/>
              </w:rPr>
            </w:pPr>
          </w:p>
        </w:tc>
        <w:tc>
          <w:tcPr>
            <w:tcW w:w="877"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数学</w:t>
            </w:r>
          </w:p>
        </w:tc>
        <w:tc>
          <w:tcPr>
            <w:tcW w:w="744"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7</w:t>
            </w:r>
          </w:p>
        </w:tc>
        <w:tc>
          <w:tcPr>
            <w:tcW w:w="200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全日制普通高校师范类专科及以上学历</w:t>
            </w:r>
          </w:p>
        </w:tc>
        <w:tc>
          <w:tcPr>
            <w:tcW w:w="97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师范类</w:t>
            </w:r>
          </w:p>
        </w:tc>
        <w:tc>
          <w:tcPr>
            <w:tcW w:w="1860"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相应学科的小学及以上教师资格</w:t>
            </w:r>
          </w:p>
        </w:tc>
        <w:tc>
          <w:tcPr>
            <w:tcW w:w="111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二级乙等及以上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2" w:hRule="atLeast"/>
          <w:jc w:val="center"/>
        </w:trPr>
        <w:tc>
          <w:tcPr>
            <w:tcW w:w="615" w:type="dxa"/>
            <w:tcBorders>
              <w:top w:val="nil"/>
              <w:left w:val="single" w:color="000000" w:sz="4" w:space="0"/>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3</w:t>
            </w:r>
          </w:p>
        </w:tc>
        <w:tc>
          <w:tcPr>
            <w:tcW w:w="65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小学</w:t>
            </w:r>
          </w:p>
        </w:tc>
        <w:tc>
          <w:tcPr>
            <w:tcW w:w="877"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语文（专门岗位）</w:t>
            </w:r>
          </w:p>
        </w:tc>
        <w:tc>
          <w:tcPr>
            <w:tcW w:w="744"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333333"/>
                <w:spacing w:val="0"/>
                <w:sz w:val="21"/>
                <w:szCs w:val="21"/>
                <w:bdr w:val="none" w:color="auto" w:sz="0" w:space="0"/>
              </w:rPr>
              <w:t>1</w:t>
            </w:r>
          </w:p>
        </w:tc>
        <w:tc>
          <w:tcPr>
            <w:tcW w:w="200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全日制普通高校专科及以上学历</w:t>
            </w:r>
          </w:p>
        </w:tc>
        <w:tc>
          <w:tcPr>
            <w:tcW w:w="972"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专业不限</w:t>
            </w:r>
          </w:p>
        </w:tc>
        <w:tc>
          <w:tcPr>
            <w:tcW w:w="1860"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相应学科的小学及以上教师资格</w:t>
            </w:r>
          </w:p>
        </w:tc>
        <w:tc>
          <w:tcPr>
            <w:tcW w:w="1115"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 w:hAnsi="����" w:eastAsia="����" w:cs="����"/>
                <w:sz w:val="24"/>
                <w:szCs w:val="24"/>
              </w:rPr>
            </w:pPr>
            <w:r>
              <w:rPr>
                <w:rFonts w:hint="eastAsia" w:ascii="仿宋" w:hAnsi="仿宋" w:eastAsia="仿宋" w:cs="仿宋"/>
                <w:i w:val="0"/>
                <w:caps w:val="0"/>
                <w:color w:val="000000"/>
                <w:spacing w:val="0"/>
                <w:sz w:val="21"/>
                <w:szCs w:val="21"/>
                <w:bdr w:val="none" w:color="auto" w:sz="0" w:space="0"/>
              </w:rPr>
              <w:t>二级甲等及以上</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 w:hAnsi="����" w:eastAsia="����" w:cs="����"/>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其他条件要求：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 w:hAnsi="����" w:eastAsia="����" w:cs="����"/>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1.政治思想合格，品行端正，具备良好的职业道德，身体健康。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 w:hAnsi="����" w:eastAsia="����" w:cs="����"/>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2.所有证书，包括毕业证、教师资格证书等，必须在2019年7月31日前取得，应届硕士研究生须在2019年8月31日前取得。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 w:hAnsi="����" w:eastAsia="����" w:cs="����"/>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3.曾因犯罪受过刑事处罚的人员，在各级公务员或事业单位招考中被认定有舞弊等严重违反录用纪律行为的人员，以及具有法律规定不得招聘的其它情形的人员，</w:t>
      </w:r>
      <w:r>
        <w:rPr>
          <w:rFonts w:hint="eastAsia" w:ascii="仿宋" w:hAnsi="仿宋" w:eastAsia="仿宋" w:cs="仿宋"/>
          <w:b/>
          <w:i w:val="0"/>
          <w:caps w:val="0"/>
          <w:color w:val="333333"/>
          <w:spacing w:val="0"/>
          <w:sz w:val="32"/>
          <w:szCs w:val="32"/>
          <w:bdr w:val="none" w:color="auto" w:sz="0" w:space="0"/>
          <w:shd w:val="clear" w:fill="FFFFFF"/>
        </w:rPr>
        <w:t>行政、事业单位在编工作人员，不得报名。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default" w:ascii="����" w:hAnsi="����" w:eastAsia="����" w:cs="����"/>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4.第一轮已被聘用的考生不得参加补充招聘。参加全省笔试第一轮未被聘用且符合报考条件的应聘者，可登陆省中小学新任教师公开招聘报名系统进行补充招聘报名，每位应聘者只能报考1个岗位。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AjiwaiPro"/>
    <w:panose1 w:val="00000000000000000000"/>
    <w:charset w:val="00"/>
    <w:family w:val="auto"/>
    <w:pitch w:val="default"/>
    <w:sig w:usb0="00000000" w:usb1="00000000" w:usb2="00000000" w:usb3="00000000" w:csb0="00000000" w:csb1="00000000"/>
  </w:font>
  <w:font w:name="AjiwaiPro">
    <w:panose1 w:val="02000600000000000000"/>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1000E"/>
    <w:rsid w:val="2941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2019-07-08T02:48:00Z</dcterms:created>
  <dc:creator>石果</dc:creator>
  <cp:lastModifiedBy>石果</cp:lastModifiedBy>
  <dcterms:modified xsi:type="dcterms:W3CDTF">2019-07-08T02:48:59Z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